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Settore polizia locale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Polizia locale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Accertamento requisiti di dimora abituale delle variazioni di residenza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Accertamento requisiti di dimora abituale delle variazioni di residenza. L'accertamento riguarda la fase successiva alla registrazione delle dichiarazioni rese, ovvero quella che attiene all'accertamento dei requisiti previsti per l'iscrizione anagrafica o per la registrazione dei cambiamenti di abitazione, e che riguarda gli effetti derivanti dagli eventuali esiti negativi derivanti dagli accertamenti.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In particolare, in caso di dichiarazioni non corrispondenti alla situazione di fatto, la normativa prevede la decadenza dei benefici acquisiti per effetto della dichiarazione, nonche' il rilievo penale della dichiarazione mendace.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L'Anagrafe provvedera', previo preavviso di rigetto, ad annullare la nuova posizione anagrafica, ripristinando, con effetto retroattivo, quella precedente. L'ufficio provvedera' a darne comunicazione, oltre che al dichiarante, al Comune di precedente iscrizione e, qualora sussistano i presupposti di cui agli artt. 75 e 76 del D.P.R. 445/2000 (dichiarazioni mendaci), all'Autorita' di pubblica sicurezza.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L'anagrafe si avvale degli uffici della Polizia Locale per l'accertamento dei requisiti.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Settore 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Polizia locale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45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